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4EDEB" w14:textId="0FC4BAE4" w:rsidR="008E7431" w:rsidRPr="00421B62" w:rsidRDefault="002F72A1" w:rsidP="002F72A1">
      <w:pPr>
        <w:shd w:val="clear" w:color="auto" w:fill="FFFFFF"/>
        <w:spacing w:before="150" w:after="150" w:line="240" w:lineRule="auto"/>
        <w:jc w:val="center"/>
        <w:rPr>
          <w:rFonts w:ascii="Arial" w:eastAsia="Times New Roman" w:hAnsi="Arial" w:cs="Arial"/>
          <w:color w:val="000000"/>
          <w:sz w:val="20"/>
          <w:szCs w:val="20"/>
          <w:lang w:val="fr-FR" w:eastAsia="en-CA"/>
        </w:rPr>
      </w:pPr>
      <w:r w:rsidRPr="00421B62">
        <w:rPr>
          <w:rFonts w:ascii="CordiaUPC" w:hAnsi="CordiaUPC" w:cs="CordiaUPC"/>
          <w:noProof/>
          <w:lang w:val="fr-FR"/>
        </w:rPr>
        <w:drawing>
          <wp:inline distT="0" distB="0" distL="0" distR="0" wp14:anchorId="0942782D" wp14:editId="7ECD4269">
            <wp:extent cx="2184510" cy="1291569"/>
            <wp:effectExtent l="0" t="0" r="6350" b="4445"/>
            <wp:docPr id="5" name="Picture 5"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arrow&#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8983" cy="1329688"/>
                    </a:xfrm>
                    <a:prstGeom prst="rect">
                      <a:avLst/>
                    </a:prstGeom>
                  </pic:spPr>
                </pic:pic>
              </a:graphicData>
            </a:graphic>
          </wp:inline>
        </w:drawing>
      </w:r>
    </w:p>
    <w:p w14:paraId="32B4B416" w14:textId="524A1C5F" w:rsidR="008E7431" w:rsidRPr="00421B62" w:rsidRDefault="008E7431" w:rsidP="008E7431">
      <w:pPr>
        <w:shd w:val="clear" w:color="auto" w:fill="FFFFFF"/>
        <w:spacing w:before="150" w:after="150" w:line="240" w:lineRule="auto"/>
        <w:jc w:val="center"/>
        <w:rPr>
          <w:rFonts w:ascii="Arial" w:eastAsia="Times New Roman" w:hAnsi="Arial" w:cs="Arial"/>
          <w:color w:val="000000"/>
          <w:sz w:val="20"/>
          <w:szCs w:val="20"/>
          <w:lang w:val="fr-FR" w:eastAsia="en-CA"/>
        </w:rPr>
      </w:pPr>
    </w:p>
    <w:p w14:paraId="4775B723" w14:textId="3B4718C4" w:rsidR="008E7431" w:rsidRPr="005358C6" w:rsidRDefault="008E7431" w:rsidP="008E7431">
      <w:pPr>
        <w:shd w:val="clear" w:color="auto" w:fill="FFFFFF"/>
        <w:spacing w:before="150" w:after="150" w:line="240" w:lineRule="auto"/>
        <w:jc w:val="center"/>
        <w:rPr>
          <w:rFonts w:ascii="Arial" w:eastAsia="Times New Roman" w:hAnsi="Arial" w:cs="Arial"/>
          <w:color w:val="000000"/>
          <w:sz w:val="20"/>
          <w:szCs w:val="20"/>
          <w:lang w:val="fr-FR" w:eastAsia="en-CA"/>
        </w:rPr>
      </w:pPr>
    </w:p>
    <w:p w14:paraId="318DF0BE" w14:textId="04E4594D" w:rsidR="008E7431" w:rsidRPr="005358C6" w:rsidRDefault="002142FE" w:rsidP="008E7431">
      <w:pPr>
        <w:shd w:val="clear" w:color="auto" w:fill="FFFFFF"/>
        <w:spacing w:before="150" w:after="150" w:line="240" w:lineRule="auto"/>
        <w:jc w:val="center"/>
        <w:rPr>
          <w:rFonts w:ascii="Arial" w:eastAsia="Times New Roman" w:hAnsi="Arial" w:cs="Arial"/>
          <w:b/>
          <w:bCs/>
          <w:color w:val="000000"/>
          <w:sz w:val="24"/>
          <w:szCs w:val="24"/>
          <w:lang w:val="fr-FR" w:eastAsia="en-CA"/>
        </w:rPr>
      </w:pPr>
      <w:r w:rsidRPr="005358C6">
        <w:rPr>
          <w:rFonts w:ascii="Arial" w:eastAsia="Times New Roman" w:hAnsi="Arial" w:cs="Arial"/>
          <w:b/>
          <w:bCs/>
          <w:color w:val="000000"/>
          <w:sz w:val="24"/>
          <w:szCs w:val="24"/>
          <w:lang w:val="fr-FR" w:eastAsia="en-CA"/>
        </w:rPr>
        <w:t>Alcool NB publie les résultats du deuxième trimestre pour 2021-2022</w:t>
      </w:r>
    </w:p>
    <w:p w14:paraId="563CF0DE" w14:textId="347550FB" w:rsidR="008E7431" w:rsidRPr="005358C6" w:rsidRDefault="00D44E29" w:rsidP="00BF6D93">
      <w:pPr>
        <w:shd w:val="clear" w:color="auto" w:fill="FFFFFF"/>
        <w:spacing w:before="150" w:after="150" w:line="276" w:lineRule="auto"/>
        <w:rPr>
          <w:rFonts w:ascii="Arial" w:eastAsia="Times New Roman" w:hAnsi="Arial" w:cs="Arial"/>
          <w:color w:val="000000"/>
          <w:sz w:val="20"/>
          <w:szCs w:val="20"/>
          <w:lang w:val="fr-FR" w:eastAsia="en-CA"/>
        </w:rPr>
      </w:pPr>
      <w:r>
        <w:rPr>
          <w:rFonts w:ascii="Arial" w:eastAsia="Times New Roman" w:hAnsi="Arial" w:cs="Arial"/>
          <w:color w:val="000000"/>
          <w:sz w:val="20"/>
          <w:szCs w:val="20"/>
          <w:lang w:val="fr-FR" w:eastAsia="en-CA"/>
        </w:rPr>
        <w:t xml:space="preserve">27 </w:t>
      </w:r>
      <w:r w:rsidR="005E12B7">
        <w:rPr>
          <w:rFonts w:ascii="Arial" w:eastAsia="Times New Roman" w:hAnsi="Arial" w:cs="Arial"/>
          <w:color w:val="000000"/>
          <w:sz w:val="20"/>
          <w:szCs w:val="20"/>
          <w:lang w:val="fr-FR" w:eastAsia="en-CA"/>
        </w:rPr>
        <w:t>octobre</w:t>
      </w:r>
      <w:r>
        <w:rPr>
          <w:rFonts w:ascii="Arial" w:eastAsia="Times New Roman" w:hAnsi="Arial" w:cs="Arial"/>
          <w:color w:val="000000"/>
          <w:sz w:val="20"/>
          <w:szCs w:val="20"/>
          <w:lang w:val="fr-FR" w:eastAsia="en-CA"/>
        </w:rPr>
        <w:t xml:space="preserve">, 2021 </w:t>
      </w:r>
    </w:p>
    <w:p w14:paraId="68DDE6A1" w14:textId="78A606E4" w:rsidR="002F72A1" w:rsidRPr="005358C6" w:rsidRDefault="00EA40A2" w:rsidP="002F72A1">
      <w:pPr>
        <w:pStyle w:val="paragraph"/>
        <w:textAlignment w:val="baseline"/>
        <w:rPr>
          <w:rFonts w:ascii="Arial" w:hAnsi="Arial" w:cs="Arial"/>
          <w:color w:val="000000"/>
          <w:sz w:val="20"/>
          <w:szCs w:val="20"/>
          <w:lang w:val="fr-FR"/>
        </w:rPr>
      </w:pPr>
      <w:r w:rsidRPr="005358C6">
        <w:rPr>
          <w:rFonts w:ascii="Arial" w:hAnsi="Arial" w:cs="Arial"/>
          <w:color w:val="000000"/>
          <w:sz w:val="20"/>
          <w:szCs w:val="20"/>
          <w:lang w:val="fr-FR"/>
        </w:rPr>
        <w:t>Alcool NB a publié ses résultats non vérifiés pour le deuxième trimestre terminé le 26 septembre 2021.  Les ventes totales pour le trimestre (13 semaines) s'élèvent à 147,7 millions de dollars, soit 3,3 % de plus que pour le trimestre terminé le 27 septembre 2020 (13 semaines).</w:t>
      </w:r>
    </w:p>
    <w:p w14:paraId="1463507E" w14:textId="77777777" w:rsidR="00EA40A2" w:rsidRPr="005358C6" w:rsidRDefault="00EA40A2" w:rsidP="002F72A1">
      <w:pPr>
        <w:pStyle w:val="paragraph"/>
        <w:textAlignment w:val="baseline"/>
        <w:rPr>
          <w:rFonts w:ascii="Arial" w:hAnsi="Arial" w:cs="Arial"/>
          <w:color w:val="000000"/>
          <w:sz w:val="20"/>
          <w:szCs w:val="20"/>
          <w:lang w:val="fr-FR"/>
        </w:rPr>
      </w:pPr>
    </w:p>
    <w:p w14:paraId="76F02F42" w14:textId="4C23CFB8" w:rsidR="002F72A1" w:rsidRPr="005358C6" w:rsidRDefault="00EA40A2" w:rsidP="002F72A1">
      <w:pPr>
        <w:pStyle w:val="paragraph"/>
        <w:textAlignment w:val="baseline"/>
        <w:rPr>
          <w:rFonts w:ascii="Arial" w:hAnsi="Arial" w:cs="Arial"/>
          <w:color w:val="000000"/>
          <w:sz w:val="20"/>
          <w:szCs w:val="20"/>
          <w:lang w:val="fr-FR"/>
        </w:rPr>
      </w:pPr>
      <w:r w:rsidRPr="005358C6">
        <w:rPr>
          <w:rFonts w:ascii="Arial" w:hAnsi="Arial" w:cs="Arial"/>
          <w:color w:val="000000"/>
          <w:sz w:val="20"/>
          <w:szCs w:val="20"/>
          <w:lang w:val="fr-FR"/>
        </w:rPr>
        <w:t xml:space="preserve">Les principales tendances des ventes de produits pour le deuxième trimestre (28 juin 2021 au 26 septembre 2021) par rapport au deuxième trimestre de l'année dernière (29 juin 2020 au 27 septembre 2020) sont les suivantes </w:t>
      </w:r>
      <w:r w:rsidR="002F72A1" w:rsidRPr="005358C6">
        <w:rPr>
          <w:rFonts w:ascii="Arial" w:hAnsi="Arial" w:cs="Arial"/>
          <w:color w:val="000000"/>
          <w:sz w:val="20"/>
          <w:szCs w:val="20"/>
          <w:lang w:val="fr-FR"/>
        </w:rPr>
        <w:t>:</w:t>
      </w:r>
    </w:p>
    <w:p w14:paraId="295EA4CC" w14:textId="77777777" w:rsidR="002F72A1" w:rsidRPr="005358C6" w:rsidRDefault="002F72A1" w:rsidP="002F72A1">
      <w:pPr>
        <w:pStyle w:val="paragraph"/>
        <w:textAlignment w:val="baseline"/>
        <w:rPr>
          <w:rFonts w:ascii="Arial" w:hAnsi="Arial" w:cs="Arial"/>
          <w:color w:val="000000"/>
          <w:sz w:val="20"/>
          <w:szCs w:val="20"/>
          <w:lang w:val="fr-FR"/>
        </w:rPr>
      </w:pPr>
    </w:p>
    <w:p w14:paraId="29FE9314" w14:textId="7E64D07A" w:rsidR="00AF13AB" w:rsidRPr="005358C6" w:rsidRDefault="00AF13AB" w:rsidP="00AF13AB">
      <w:pPr>
        <w:pStyle w:val="paragraph"/>
        <w:numPr>
          <w:ilvl w:val="0"/>
          <w:numId w:val="5"/>
        </w:numPr>
        <w:textAlignment w:val="baseline"/>
        <w:rPr>
          <w:rFonts w:ascii="Arial" w:hAnsi="Arial" w:cs="Arial"/>
          <w:color w:val="000000"/>
          <w:sz w:val="20"/>
          <w:szCs w:val="20"/>
          <w:lang w:val="fr-FR"/>
        </w:rPr>
      </w:pPr>
      <w:r w:rsidRPr="005358C6">
        <w:rPr>
          <w:rFonts w:ascii="Arial" w:hAnsi="Arial" w:cs="Arial"/>
          <w:color w:val="000000"/>
          <w:sz w:val="20"/>
          <w:szCs w:val="20"/>
          <w:lang w:val="fr-FR"/>
        </w:rPr>
        <w:t xml:space="preserve">Les ventes de vins ont augmenté de 9,9 %, soit 2,64 millions de dollars. </w:t>
      </w:r>
    </w:p>
    <w:p w14:paraId="265D2356" w14:textId="6AB5DE29" w:rsidR="00AF13AB" w:rsidRPr="005358C6" w:rsidRDefault="00AF13AB" w:rsidP="00AF13AB">
      <w:pPr>
        <w:pStyle w:val="paragraph"/>
        <w:numPr>
          <w:ilvl w:val="0"/>
          <w:numId w:val="5"/>
        </w:numPr>
        <w:textAlignment w:val="baseline"/>
        <w:rPr>
          <w:rFonts w:ascii="Arial" w:hAnsi="Arial" w:cs="Arial"/>
          <w:color w:val="000000"/>
          <w:sz w:val="20"/>
          <w:szCs w:val="20"/>
          <w:lang w:val="fr-FR"/>
        </w:rPr>
      </w:pPr>
      <w:r w:rsidRPr="005358C6">
        <w:rPr>
          <w:rFonts w:ascii="Arial" w:hAnsi="Arial" w:cs="Arial"/>
          <w:color w:val="000000"/>
          <w:sz w:val="20"/>
          <w:szCs w:val="20"/>
          <w:lang w:val="fr-FR"/>
        </w:rPr>
        <w:t>Les ventes de spiritueux ont augmenté de 4,2 %, soit une hausse de 1,23 million de dollar</w:t>
      </w:r>
      <w:r w:rsidR="00B32094" w:rsidRPr="005358C6">
        <w:rPr>
          <w:rFonts w:ascii="Arial" w:hAnsi="Arial" w:cs="Arial"/>
          <w:color w:val="000000"/>
          <w:sz w:val="20"/>
          <w:szCs w:val="20"/>
          <w:lang w:val="fr-FR"/>
        </w:rPr>
        <w:t>s.</w:t>
      </w:r>
    </w:p>
    <w:p w14:paraId="5E214F24" w14:textId="43C65B48" w:rsidR="00AF13AB" w:rsidRPr="005358C6" w:rsidRDefault="00AF13AB" w:rsidP="00AF13AB">
      <w:pPr>
        <w:pStyle w:val="paragraph"/>
        <w:numPr>
          <w:ilvl w:val="0"/>
          <w:numId w:val="5"/>
        </w:numPr>
        <w:textAlignment w:val="baseline"/>
        <w:rPr>
          <w:rFonts w:ascii="Arial" w:hAnsi="Arial" w:cs="Arial"/>
          <w:color w:val="000000"/>
          <w:sz w:val="20"/>
          <w:szCs w:val="20"/>
          <w:lang w:val="fr-FR"/>
        </w:rPr>
      </w:pPr>
      <w:r w:rsidRPr="005358C6">
        <w:rPr>
          <w:rFonts w:ascii="Arial" w:hAnsi="Arial" w:cs="Arial"/>
          <w:color w:val="000000"/>
          <w:sz w:val="20"/>
          <w:szCs w:val="20"/>
          <w:lang w:val="fr-FR"/>
        </w:rPr>
        <w:t>Les ventes de bière ont diminué de 1,0 %, soit 0,65 million de dollars</w:t>
      </w:r>
      <w:r w:rsidR="00B32094" w:rsidRPr="005358C6">
        <w:rPr>
          <w:rFonts w:ascii="Arial" w:hAnsi="Arial" w:cs="Arial"/>
          <w:color w:val="000000"/>
          <w:sz w:val="20"/>
          <w:szCs w:val="20"/>
          <w:lang w:val="fr-FR"/>
        </w:rPr>
        <w:t>.</w:t>
      </w:r>
      <w:r w:rsidRPr="005358C6">
        <w:rPr>
          <w:rFonts w:ascii="Arial" w:hAnsi="Arial" w:cs="Arial"/>
          <w:color w:val="000000"/>
          <w:sz w:val="20"/>
          <w:szCs w:val="20"/>
          <w:lang w:val="fr-FR"/>
        </w:rPr>
        <w:t xml:space="preserve"> </w:t>
      </w:r>
    </w:p>
    <w:p w14:paraId="461A1320" w14:textId="7FC124D0" w:rsidR="00AF13AB" w:rsidRPr="005358C6" w:rsidRDefault="00AF13AB" w:rsidP="00AF13AB">
      <w:pPr>
        <w:pStyle w:val="paragraph"/>
        <w:numPr>
          <w:ilvl w:val="0"/>
          <w:numId w:val="5"/>
        </w:numPr>
        <w:textAlignment w:val="baseline"/>
        <w:rPr>
          <w:rFonts w:ascii="Arial" w:hAnsi="Arial" w:cs="Arial"/>
          <w:color w:val="000000"/>
          <w:sz w:val="20"/>
          <w:szCs w:val="20"/>
          <w:lang w:val="fr-FR"/>
        </w:rPr>
      </w:pPr>
      <w:r w:rsidRPr="005358C6">
        <w:rPr>
          <w:rFonts w:ascii="Arial" w:hAnsi="Arial" w:cs="Arial"/>
          <w:color w:val="000000"/>
          <w:sz w:val="20"/>
          <w:szCs w:val="20"/>
          <w:lang w:val="fr-FR"/>
        </w:rPr>
        <w:t xml:space="preserve">Les ventes de panachés et de cidre ont augmenté de 7,5 </w:t>
      </w:r>
      <w:r w:rsidR="0054797F" w:rsidRPr="005358C6">
        <w:rPr>
          <w:rFonts w:ascii="Arial" w:hAnsi="Arial" w:cs="Arial"/>
          <w:color w:val="000000"/>
          <w:sz w:val="20"/>
          <w:szCs w:val="20"/>
          <w:lang w:val="fr-FR"/>
        </w:rPr>
        <w:t>%,</w:t>
      </w:r>
      <w:r w:rsidRPr="005358C6">
        <w:rPr>
          <w:rFonts w:ascii="Arial" w:hAnsi="Arial" w:cs="Arial"/>
          <w:color w:val="000000"/>
          <w:sz w:val="20"/>
          <w:szCs w:val="20"/>
          <w:lang w:val="fr-FR"/>
        </w:rPr>
        <w:t xml:space="preserve"> soit 1,56 million de dollars.  </w:t>
      </w:r>
    </w:p>
    <w:p w14:paraId="3BC500FC" w14:textId="77777777" w:rsidR="002F72A1" w:rsidRPr="005358C6" w:rsidRDefault="002F72A1" w:rsidP="002F72A1">
      <w:pPr>
        <w:pStyle w:val="paragraph"/>
        <w:textAlignment w:val="baseline"/>
        <w:rPr>
          <w:rFonts w:ascii="Arial" w:hAnsi="Arial" w:cs="Arial"/>
          <w:color w:val="000000"/>
          <w:sz w:val="20"/>
          <w:szCs w:val="20"/>
          <w:lang w:val="fr-FR"/>
        </w:rPr>
      </w:pPr>
    </w:p>
    <w:p w14:paraId="5D34DF40" w14:textId="073DD0D8" w:rsidR="002F72A1" w:rsidRPr="005358C6" w:rsidRDefault="00F32273" w:rsidP="002F72A1">
      <w:pPr>
        <w:pStyle w:val="paragraph"/>
        <w:textAlignment w:val="baseline"/>
        <w:rPr>
          <w:rFonts w:ascii="Arial" w:hAnsi="Arial" w:cs="Arial"/>
          <w:color w:val="000000"/>
          <w:sz w:val="20"/>
          <w:szCs w:val="20"/>
          <w:lang w:val="fr-FR"/>
        </w:rPr>
      </w:pPr>
      <w:r w:rsidRPr="005358C6">
        <w:rPr>
          <w:rFonts w:ascii="Arial" w:hAnsi="Arial" w:cs="Arial"/>
          <w:color w:val="000000"/>
          <w:sz w:val="20"/>
          <w:szCs w:val="20"/>
          <w:lang w:val="fr-FR"/>
        </w:rPr>
        <w:t>ANBL est une société d'État provinciale responsable de l'achat, de l'importation, de la distribution et de la vente au détail de toutes les boissons alcoolisées dans la province. Elle sert le public et les titulaires de licence par le biais de 41 magasins corporatifs, 87 magasins de franchise privés, 87 magasins de franchise producteurs locaux et 67 épiceries vendant du vin, du cidre et de la bière. Son portefeuille de produits comprend plus de 2 467 produits, dont des vins, des spiritueux, des bières et d'autres produits, comme des panachés et du cidre, ainsi que des boissons alcoolisées produites localement.</w:t>
      </w:r>
    </w:p>
    <w:p w14:paraId="6981B4AD" w14:textId="77777777" w:rsidR="00F32273" w:rsidRPr="005358C6" w:rsidRDefault="00F32273" w:rsidP="002F72A1">
      <w:pPr>
        <w:pStyle w:val="paragraph"/>
        <w:textAlignment w:val="baseline"/>
        <w:rPr>
          <w:rFonts w:ascii="Arial" w:hAnsi="Arial" w:cs="Arial"/>
          <w:color w:val="000000"/>
          <w:sz w:val="20"/>
          <w:szCs w:val="20"/>
          <w:lang w:val="fr-FR"/>
        </w:rPr>
      </w:pPr>
    </w:p>
    <w:p w14:paraId="27637E1C" w14:textId="403F2288" w:rsidR="00364BA3" w:rsidRDefault="00364BA3" w:rsidP="00364BA3">
      <w:pPr>
        <w:pStyle w:val="paragraph"/>
        <w:textAlignment w:val="baseline"/>
        <w:rPr>
          <w:rFonts w:ascii="Arial" w:hAnsi="Arial" w:cs="Arial"/>
          <w:color w:val="000000"/>
          <w:sz w:val="20"/>
          <w:szCs w:val="20"/>
          <w:lang w:val="fr-FR"/>
        </w:rPr>
      </w:pPr>
      <w:r w:rsidRPr="005358C6">
        <w:rPr>
          <w:rFonts w:ascii="Arial" w:hAnsi="Arial" w:cs="Arial"/>
          <w:color w:val="000000"/>
          <w:sz w:val="20"/>
          <w:szCs w:val="20"/>
          <w:lang w:val="fr-FR"/>
        </w:rPr>
        <w:t xml:space="preserve">Au cours des 45 dernières années, ANBL a construit un réseau de magasins dans plus de 33 collectivités de la province et emploie environ 740 personnes. </w:t>
      </w:r>
    </w:p>
    <w:p w14:paraId="511C91DF" w14:textId="77777777" w:rsidR="00D44E29" w:rsidRPr="005358C6" w:rsidRDefault="00D44E29" w:rsidP="00364BA3">
      <w:pPr>
        <w:pStyle w:val="paragraph"/>
        <w:textAlignment w:val="baseline"/>
        <w:rPr>
          <w:rFonts w:ascii="Arial" w:hAnsi="Arial" w:cs="Arial"/>
          <w:color w:val="000000"/>
          <w:sz w:val="20"/>
          <w:szCs w:val="20"/>
          <w:lang w:val="fr-FR"/>
        </w:rPr>
      </w:pPr>
    </w:p>
    <w:p w14:paraId="5FDE3F9F" w14:textId="58BACAD3" w:rsidR="002F72A1" w:rsidRPr="005358C6" w:rsidRDefault="00364BA3" w:rsidP="00364BA3">
      <w:pPr>
        <w:pStyle w:val="paragraph"/>
        <w:textAlignment w:val="baseline"/>
        <w:rPr>
          <w:rFonts w:ascii="Arial" w:hAnsi="Arial" w:cs="Arial"/>
          <w:color w:val="000000"/>
          <w:sz w:val="20"/>
          <w:szCs w:val="20"/>
          <w:lang w:val="fr-FR"/>
        </w:rPr>
      </w:pPr>
      <w:r w:rsidRPr="005358C6">
        <w:rPr>
          <w:rFonts w:ascii="Arial" w:hAnsi="Arial" w:cs="Arial"/>
          <w:color w:val="000000"/>
          <w:sz w:val="20"/>
          <w:szCs w:val="20"/>
          <w:lang w:val="fr-FR"/>
        </w:rPr>
        <w:t>En vertu d'une convention comptable courante dans l'industrie de la vente au détail, la Société suit un cycle de rapports de 52 semaines, ce qui nécessite périodiquement un exercice financier de 53 semaines.  L'exercice de la société se termine le dimanche le plus proche du 31 mars. En général, l'inclusion d'une semaine supplémentaire a lieu tous les cinq ou six exercices en raison de la date de fin d'exercice flottante de la société. Le prochain exercice de 53 semaines aura lieu au cours de l'exercice 2022.</w:t>
      </w:r>
    </w:p>
    <w:p w14:paraId="1103E5F5" w14:textId="77777777" w:rsidR="00364BA3" w:rsidRPr="005358C6" w:rsidRDefault="00364BA3" w:rsidP="00364BA3">
      <w:pPr>
        <w:pStyle w:val="paragraph"/>
        <w:textAlignment w:val="baseline"/>
        <w:rPr>
          <w:rFonts w:ascii="Arial" w:hAnsi="Arial" w:cs="Arial"/>
          <w:color w:val="000000"/>
          <w:sz w:val="20"/>
          <w:szCs w:val="20"/>
          <w:lang w:val="fr-FR"/>
        </w:rPr>
      </w:pPr>
    </w:p>
    <w:p w14:paraId="562A9683" w14:textId="77777777" w:rsidR="00DA07F2" w:rsidRPr="005358C6" w:rsidRDefault="00DA07F2" w:rsidP="00D44E29">
      <w:pPr>
        <w:pStyle w:val="paragraph"/>
        <w:jc w:val="center"/>
        <w:textAlignment w:val="baseline"/>
        <w:rPr>
          <w:rStyle w:val="normaltextrun1"/>
          <w:rFonts w:ascii="Arial" w:hAnsi="Arial" w:cs="Arial"/>
          <w:b/>
          <w:bCs/>
          <w:sz w:val="20"/>
          <w:szCs w:val="20"/>
          <w:lang w:val="fr-FR"/>
        </w:rPr>
      </w:pPr>
    </w:p>
    <w:p w14:paraId="22D844B5" w14:textId="77777777" w:rsidR="00D44E29" w:rsidRDefault="00286FCA" w:rsidP="00D44E29">
      <w:pPr>
        <w:pStyle w:val="paragraph"/>
        <w:jc w:val="center"/>
        <w:textAlignment w:val="baseline"/>
        <w:rPr>
          <w:rStyle w:val="normaltextrun1"/>
          <w:rFonts w:ascii="Arial" w:hAnsi="Arial" w:cs="Arial"/>
          <w:b/>
          <w:bCs/>
          <w:sz w:val="20"/>
          <w:szCs w:val="20"/>
          <w:lang w:val="fr-FR"/>
        </w:rPr>
      </w:pPr>
      <w:r w:rsidRPr="005358C6">
        <w:rPr>
          <w:rStyle w:val="normaltextrun1"/>
          <w:rFonts w:ascii="Arial" w:hAnsi="Arial" w:cs="Arial"/>
          <w:b/>
          <w:bCs/>
          <w:sz w:val="20"/>
          <w:szCs w:val="20"/>
          <w:lang w:val="fr-FR"/>
        </w:rPr>
        <w:t xml:space="preserve">Personne-ressource pour les médias </w:t>
      </w:r>
      <w:r w:rsidR="00D46ED3" w:rsidRPr="005358C6">
        <w:rPr>
          <w:rStyle w:val="normaltextrun1"/>
          <w:rFonts w:ascii="Arial" w:hAnsi="Arial" w:cs="Arial"/>
          <w:b/>
          <w:bCs/>
          <w:sz w:val="20"/>
          <w:szCs w:val="20"/>
          <w:lang w:val="fr-FR"/>
        </w:rPr>
        <w:t xml:space="preserve">: </w:t>
      </w:r>
    </w:p>
    <w:p w14:paraId="5DFE0059" w14:textId="6BF60472" w:rsidR="00D46ED3" w:rsidRDefault="00D46ED3" w:rsidP="00D44E29">
      <w:pPr>
        <w:pStyle w:val="paragraph"/>
        <w:jc w:val="center"/>
        <w:textAlignment w:val="baseline"/>
        <w:rPr>
          <w:rStyle w:val="normaltextrun1"/>
          <w:rFonts w:ascii="Arial" w:hAnsi="Arial" w:cs="Arial"/>
          <w:sz w:val="20"/>
          <w:szCs w:val="20"/>
          <w:lang w:val="fr-FR"/>
        </w:rPr>
      </w:pPr>
      <w:r w:rsidRPr="005358C6">
        <w:rPr>
          <w:rStyle w:val="normaltextrun1"/>
          <w:rFonts w:ascii="Arial" w:hAnsi="Arial" w:cs="Arial"/>
          <w:sz w:val="20"/>
          <w:szCs w:val="20"/>
          <w:lang w:val="fr-FR"/>
        </w:rPr>
        <w:t xml:space="preserve">Thomas Tremblay, </w:t>
      </w:r>
      <w:r w:rsidR="00422C03" w:rsidRPr="005358C6">
        <w:rPr>
          <w:rStyle w:val="normaltextrun1"/>
          <w:rFonts w:ascii="Arial" w:hAnsi="Arial" w:cs="Arial"/>
          <w:sz w:val="20"/>
          <w:szCs w:val="20"/>
          <w:lang w:val="fr-FR"/>
        </w:rPr>
        <w:t>c</w:t>
      </w:r>
      <w:r w:rsidRPr="005358C6">
        <w:rPr>
          <w:rStyle w:val="normaltextrun1"/>
          <w:rFonts w:ascii="Arial" w:hAnsi="Arial" w:cs="Arial"/>
          <w:sz w:val="20"/>
          <w:szCs w:val="20"/>
          <w:lang w:val="fr-FR"/>
        </w:rPr>
        <w:t xml:space="preserve">ommunications, ANBL </w:t>
      </w:r>
    </w:p>
    <w:p w14:paraId="58157708" w14:textId="3BD9CA2B" w:rsidR="00D44E29" w:rsidRPr="005358C6" w:rsidRDefault="00D44E29" w:rsidP="00D44E29">
      <w:pPr>
        <w:pStyle w:val="paragraph"/>
        <w:jc w:val="center"/>
        <w:textAlignment w:val="baseline"/>
        <w:rPr>
          <w:rFonts w:ascii="Arial" w:hAnsi="Arial" w:cs="Arial"/>
          <w:sz w:val="20"/>
          <w:szCs w:val="20"/>
          <w:lang w:val="fr-FR"/>
        </w:rPr>
      </w:pPr>
      <w:r>
        <w:rPr>
          <w:rStyle w:val="normaltextrun1"/>
          <w:rFonts w:ascii="Arial" w:hAnsi="Arial" w:cs="Arial"/>
          <w:sz w:val="20"/>
          <w:szCs w:val="20"/>
          <w:lang w:val="fr-FR"/>
        </w:rPr>
        <w:t>506-429-2091 ou media.relations@anbl.com</w:t>
      </w:r>
    </w:p>
    <w:p w14:paraId="39C546FC" w14:textId="58007528" w:rsidR="00244A4D" w:rsidRPr="005358C6" w:rsidRDefault="00244A4D" w:rsidP="00BF6D93">
      <w:pPr>
        <w:spacing w:line="276" w:lineRule="auto"/>
        <w:rPr>
          <w:rFonts w:ascii="Arial" w:hAnsi="Arial" w:cs="Arial"/>
          <w:sz w:val="20"/>
          <w:szCs w:val="20"/>
          <w:lang w:val="fr-FR"/>
        </w:rPr>
      </w:pPr>
    </w:p>
    <w:p w14:paraId="4683D123" w14:textId="77777777" w:rsidR="00F21DAE" w:rsidRPr="005358C6" w:rsidRDefault="00F21DAE" w:rsidP="00BF6D93">
      <w:pPr>
        <w:spacing w:line="276" w:lineRule="auto"/>
        <w:rPr>
          <w:rFonts w:ascii="Arial" w:hAnsi="Arial" w:cs="Arial"/>
          <w:sz w:val="20"/>
          <w:szCs w:val="20"/>
          <w:lang w:val="fr-FR"/>
        </w:rPr>
      </w:pPr>
    </w:p>
    <w:p w14:paraId="56416FB8" w14:textId="77777777" w:rsidR="00640C38" w:rsidRPr="00286FCA" w:rsidRDefault="00640C38">
      <w:pPr>
        <w:rPr>
          <w:lang w:val="fr-FR"/>
        </w:rPr>
      </w:pPr>
    </w:p>
    <w:sectPr w:rsidR="00640C38" w:rsidRPr="00286F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UPC">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12D1E"/>
    <w:multiLevelType w:val="multilevel"/>
    <w:tmpl w:val="1A20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F7A13"/>
    <w:multiLevelType w:val="hybridMultilevel"/>
    <w:tmpl w:val="DA488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2D4626"/>
    <w:multiLevelType w:val="multilevel"/>
    <w:tmpl w:val="ADF8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715418"/>
    <w:multiLevelType w:val="multilevel"/>
    <w:tmpl w:val="AFA6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1964F6"/>
    <w:multiLevelType w:val="multilevel"/>
    <w:tmpl w:val="1B24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9A"/>
    <w:rsid w:val="0009681D"/>
    <w:rsid w:val="001A10DA"/>
    <w:rsid w:val="001A781C"/>
    <w:rsid w:val="002142FE"/>
    <w:rsid w:val="00244A4D"/>
    <w:rsid w:val="0024664E"/>
    <w:rsid w:val="00286FCA"/>
    <w:rsid w:val="002A01BF"/>
    <w:rsid w:val="002F72A1"/>
    <w:rsid w:val="003056FF"/>
    <w:rsid w:val="00364BA3"/>
    <w:rsid w:val="0036703A"/>
    <w:rsid w:val="00421B62"/>
    <w:rsid w:val="00422C03"/>
    <w:rsid w:val="00501622"/>
    <w:rsid w:val="005358C6"/>
    <w:rsid w:val="0054797F"/>
    <w:rsid w:val="005769A2"/>
    <w:rsid w:val="005A339A"/>
    <w:rsid w:val="005C3A28"/>
    <w:rsid w:val="005E12B7"/>
    <w:rsid w:val="00640C38"/>
    <w:rsid w:val="00686642"/>
    <w:rsid w:val="00742D44"/>
    <w:rsid w:val="008E7431"/>
    <w:rsid w:val="00910C3D"/>
    <w:rsid w:val="00980B79"/>
    <w:rsid w:val="00AF13AB"/>
    <w:rsid w:val="00AF6BCB"/>
    <w:rsid w:val="00B32094"/>
    <w:rsid w:val="00BF6D93"/>
    <w:rsid w:val="00CC0E7D"/>
    <w:rsid w:val="00D44E29"/>
    <w:rsid w:val="00D46ED3"/>
    <w:rsid w:val="00DA07F2"/>
    <w:rsid w:val="00DE6072"/>
    <w:rsid w:val="00EA40A2"/>
    <w:rsid w:val="00F21DAE"/>
    <w:rsid w:val="00F32273"/>
    <w:rsid w:val="00F91C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25C4"/>
  <w15:chartTrackingRefBased/>
  <w15:docId w15:val="{963121A7-6078-4BA9-9B13-A3414B6F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607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D46ED3"/>
    <w:pPr>
      <w:spacing w:after="0" w:line="240" w:lineRule="auto"/>
    </w:pPr>
    <w:rPr>
      <w:rFonts w:ascii="Times New Roman" w:eastAsia="Times New Roman" w:hAnsi="Times New Roman" w:cs="Times New Roman"/>
      <w:sz w:val="24"/>
      <w:szCs w:val="24"/>
      <w:lang w:eastAsia="en-CA"/>
    </w:rPr>
  </w:style>
  <w:style w:type="character" w:customStyle="1" w:styleId="normaltextrun1">
    <w:name w:val="normaltextrun1"/>
    <w:basedOn w:val="DefaultParagraphFont"/>
    <w:rsid w:val="00D46ED3"/>
  </w:style>
  <w:style w:type="character" w:styleId="Hyperlink">
    <w:name w:val="Hyperlink"/>
    <w:basedOn w:val="DefaultParagraphFont"/>
    <w:uiPriority w:val="99"/>
    <w:unhideWhenUsed/>
    <w:rsid w:val="00AF6BCB"/>
    <w:rPr>
      <w:color w:val="0563C1" w:themeColor="hyperlink"/>
      <w:u w:val="single"/>
    </w:rPr>
  </w:style>
  <w:style w:type="character" w:styleId="UnresolvedMention">
    <w:name w:val="Unresolved Mention"/>
    <w:basedOn w:val="DefaultParagraphFont"/>
    <w:uiPriority w:val="99"/>
    <w:semiHidden/>
    <w:unhideWhenUsed/>
    <w:rsid w:val="00AF6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89456">
      <w:bodyDiv w:val="1"/>
      <w:marLeft w:val="0"/>
      <w:marRight w:val="0"/>
      <w:marTop w:val="0"/>
      <w:marBottom w:val="0"/>
      <w:divBdr>
        <w:top w:val="none" w:sz="0" w:space="0" w:color="auto"/>
        <w:left w:val="none" w:sz="0" w:space="0" w:color="auto"/>
        <w:bottom w:val="none" w:sz="0" w:space="0" w:color="auto"/>
        <w:right w:val="none" w:sz="0" w:space="0" w:color="auto"/>
      </w:divBdr>
    </w:div>
    <w:div w:id="396709394">
      <w:bodyDiv w:val="1"/>
      <w:marLeft w:val="0"/>
      <w:marRight w:val="0"/>
      <w:marTop w:val="0"/>
      <w:marBottom w:val="0"/>
      <w:divBdr>
        <w:top w:val="none" w:sz="0" w:space="0" w:color="auto"/>
        <w:left w:val="none" w:sz="0" w:space="0" w:color="auto"/>
        <w:bottom w:val="none" w:sz="0" w:space="0" w:color="auto"/>
        <w:right w:val="none" w:sz="0" w:space="0" w:color="auto"/>
      </w:divBdr>
    </w:div>
    <w:div w:id="431315391">
      <w:bodyDiv w:val="1"/>
      <w:marLeft w:val="0"/>
      <w:marRight w:val="0"/>
      <w:marTop w:val="0"/>
      <w:marBottom w:val="0"/>
      <w:divBdr>
        <w:top w:val="none" w:sz="0" w:space="0" w:color="auto"/>
        <w:left w:val="none" w:sz="0" w:space="0" w:color="auto"/>
        <w:bottom w:val="none" w:sz="0" w:space="0" w:color="auto"/>
        <w:right w:val="none" w:sz="0" w:space="0" w:color="auto"/>
      </w:divBdr>
    </w:div>
    <w:div w:id="1257593406">
      <w:bodyDiv w:val="1"/>
      <w:marLeft w:val="0"/>
      <w:marRight w:val="0"/>
      <w:marTop w:val="0"/>
      <w:marBottom w:val="0"/>
      <w:divBdr>
        <w:top w:val="none" w:sz="0" w:space="0" w:color="auto"/>
        <w:left w:val="none" w:sz="0" w:space="0" w:color="auto"/>
        <w:bottom w:val="none" w:sz="0" w:space="0" w:color="auto"/>
        <w:right w:val="none" w:sz="0" w:space="0" w:color="auto"/>
      </w:divBdr>
    </w:div>
    <w:div w:id="1341660040">
      <w:bodyDiv w:val="1"/>
      <w:marLeft w:val="0"/>
      <w:marRight w:val="0"/>
      <w:marTop w:val="0"/>
      <w:marBottom w:val="0"/>
      <w:divBdr>
        <w:top w:val="none" w:sz="0" w:space="0" w:color="auto"/>
        <w:left w:val="none" w:sz="0" w:space="0" w:color="auto"/>
        <w:bottom w:val="none" w:sz="0" w:space="0" w:color="auto"/>
        <w:right w:val="none" w:sz="0" w:space="0" w:color="auto"/>
      </w:divBdr>
    </w:div>
    <w:div w:id="1593472121">
      <w:bodyDiv w:val="1"/>
      <w:marLeft w:val="0"/>
      <w:marRight w:val="0"/>
      <w:marTop w:val="0"/>
      <w:marBottom w:val="0"/>
      <w:divBdr>
        <w:top w:val="none" w:sz="0" w:space="0" w:color="auto"/>
        <w:left w:val="none" w:sz="0" w:space="0" w:color="auto"/>
        <w:bottom w:val="none" w:sz="0" w:space="0" w:color="auto"/>
        <w:right w:val="none" w:sz="0" w:space="0" w:color="auto"/>
      </w:divBdr>
    </w:div>
    <w:div w:id="213274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EF448A9586F4F82DB1B7A7BB16569" ma:contentTypeVersion="11" ma:contentTypeDescription="Create a new document." ma:contentTypeScope="" ma:versionID="5e90b68a0d65c27469d3ee686b334d7c">
  <xsd:schema xmlns:xsd="http://www.w3.org/2001/XMLSchema" xmlns:xs="http://www.w3.org/2001/XMLSchema" xmlns:p="http://schemas.microsoft.com/office/2006/metadata/properties" xmlns:ns3="142b9565-9e98-4906-a189-b29a836de8cf" xmlns:ns4="12808b5d-89a1-4bd9-980d-47a1162baa41" targetNamespace="http://schemas.microsoft.com/office/2006/metadata/properties" ma:root="true" ma:fieldsID="2848995e17913be489542d6fdabdb306" ns3:_="" ns4:_="">
    <xsd:import namespace="142b9565-9e98-4906-a189-b29a836de8cf"/>
    <xsd:import namespace="12808b5d-89a1-4bd9-980d-47a1162baa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b9565-9e98-4906-a189-b29a836de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808b5d-89a1-4bd9-980d-47a1162baa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6F9CC-24B2-4517-B28F-C976684BE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b9565-9e98-4906-a189-b29a836de8cf"/>
    <ds:schemaRef ds:uri="12808b5d-89a1-4bd9-980d-47a1162ba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DA37E-58D8-4942-A1AE-031BBA534D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735DC7-1ECB-42CC-8403-1DE2C5CCF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Tremblay, Tom    (ANBL)</dc:creator>
  <cp:keywords/>
  <dc:description/>
  <cp:lastModifiedBy>Tremblay, Tom    (ANBL)</cp:lastModifiedBy>
  <cp:revision>3</cp:revision>
  <dcterms:created xsi:type="dcterms:W3CDTF">2021-10-27T17:03:00Z</dcterms:created>
  <dcterms:modified xsi:type="dcterms:W3CDTF">2021-10-27T17:03:00Z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0x010100FADEF448A9586F4F82DB1B7A7BB16569</vt:lpwstr>
  </property>
</Properties>
</file>